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57F4F17" w:rsidR="00F92268" w:rsidRPr="00FF66BF" w:rsidRDefault="00373757" w:rsidP="00F246C7">
            <w:pPr>
              <w:pStyle w:val="RefTableHeader"/>
            </w:pPr>
            <w:r>
              <w:t>6939</w:t>
            </w:r>
            <w:r w:rsidR="003569A2">
              <w:t>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8B0A8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00A0890" w:rsidR="004B15BB" w:rsidRPr="00BD1CC1" w:rsidRDefault="003569A2" w:rsidP="007E5C16">
      <w:pPr>
        <w:pStyle w:val="Heading1"/>
      </w:pPr>
      <w:r w:rsidRPr="003569A2">
        <w:t>Specialty Guideline Management</w:t>
      </w:r>
      <w:r w:rsidR="007B2B91">
        <w:br/>
      </w:r>
      <w:proofErr w:type="spellStart"/>
      <w:r w:rsidR="00373757">
        <w:t>Vanrafia</w:t>
      </w:r>
      <w:proofErr w:type="spellEnd"/>
    </w:p>
    <w:p w14:paraId="78861C92" w14:textId="73B6BE8A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5E114530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D0210C">
        <w:t>Over-the-counter (</w:t>
      </w:r>
      <w:r w:rsidRPr="00BD1CC1">
        <w:t>OTC</w:t>
      </w:r>
      <w:r w:rsidR="00D0210C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5BF742AB" w:rsidR="00585FFF" w:rsidRPr="00BD1CC1" w:rsidRDefault="00373757" w:rsidP="00E82ABA">
            <w:pPr>
              <w:pStyle w:val="TableDataUnpadded"/>
            </w:pPr>
            <w:proofErr w:type="spellStart"/>
            <w:r>
              <w:t>Vanrafia</w:t>
            </w:r>
            <w:proofErr w:type="spellEnd"/>
          </w:p>
        </w:tc>
        <w:tc>
          <w:tcPr>
            <w:tcW w:w="5595" w:type="dxa"/>
          </w:tcPr>
          <w:p w14:paraId="7E26A004" w14:textId="303770EC" w:rsidR="00585FFF" w:rsidRPr="00BD1CC1" w:rsidRDefault="00664909" w:rsidP="00E82ABA">
            <w:pPr>
              <w:pStyle w:val="TableDataUnpadded"/>
            </w:pPr>
            <w:proofErr w:type="spellStart"/>
            <w:r>
              <w:t>atrasentan</w:t>
            </w:r>
            <w:proofErr w:type="spellEnd"/>
          </w:p>
        </w:tc>
      </w:tr>
    </w:tbl>
    <w:bookmarkEnd w:id="0"/>
    <w:p w14:paraId="14CE6108" w14:textId="567C257B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1AB6682C" w14:textId="71634E66" w:rsidR="003569A2" w:rsidRPr="003569A2" w:rsidRDefault="003569A2" w:rsidP="003569A2">
      <w:pPr>
        <w:pStyle w:val="BodyText"/>
      </w:pPr>
      <w:r w:rsidRPr="003569A2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DABF063" w:rsidR="00ED052F" w:rsidRPr="00BD1CC1" w:rsidRDefault="00ED052F" w:rsidP="00ED052F">
      <w:pPr>
        <w:pStyle w:val="Heading3"/>
        <w:keepNext w:val="0"/>
      </w:pPr>
      <w:r w:rsidRPr="00BD1CC1">
        <w:t>FDA-</w:t>
      </w:r>
      <w:r w:rsidR="00B96C10">
        <w:t>a</w:t>
      </w:r>
      <w:r w:rsidRPr="00BD1CC1">
        <w:t>pproved Indication</w:t>
      </w:r>
      <w:r w:rsidR="003569A2" w:rsidRPr="003569A2">
        <w:rPr>
          <w:vertAlign w:val="superscript"/>
        </w:rPr>
        <w:t>1</w:t>
      </w:r>
    </w:p>
    <w:p w14:paraId="39220D8A" w14:textId="18F1CABE" w:rsidR="003569A2" w:rsidRDefault="00664909" w:rsidP="00902C78">
      <w:pPr>
        <w:pStyle w:val="BodyText"/>
      </w:pPr>
      <w:proofErr w:type="spellStart"/>
      <w:r>
        <w:t>Vanrafia</w:t>
      </w:r>
      <w:proofErr w:type="spellEnd"/>
      <w:r>
        <w:t xml:space="preserve"> </w:t>
      </w:r>
      <w:r w:rsidR="00B8366F">
        <w:t>is indicated t</w:t>
      </w:r>
      <w:r w:rsidR="003569A2">
        <w:t xml:space="preserve">o reduce </w:t>
      </w:r>
      <w:r w:rsidR="00D3000C">
        <w:t>proteinuria</w:t>
      </w:r>
      <w:r w:rsidR="003569A2">
        <w:t xml:space="preserve"> in adults with primary immunoglobulin A nephropathy (</w:t>
      </w:r>
      <w:proofErr w:type="spellStart"/>
      <w:r w:rsidR="003569A2">
        <w:t>IgAN</w:t>
      </w:r>
      <w:proofErr w:type="spellEnd"/>
      <w:r w:rsidR="003569A2">
        <w:t xml:space="preserve">) at risk </w:t>
      </w:r>
      <w:r w:rsidR="00127465">
        <w:t>of rapid</w:t>
      </w:r>
      <w:r w:rsidR="003569A2">
        <w:t xml:space="preserve"> disease progression</w:t>
      </w:r>
      <w:r w:rsidR="008D2284">
        <w:t>, generally a urine protein-to-creatinine ratio (UPCR) greater than or equal to 1.5 grams per gram (g/g)</w:t>
      </w:r>
      <w:r w:rsidR="003569A2">
        <w:t>.</w:t>
      </w:r>
    </w:p>
    <w:p w14:paraId="4C434745" w14:textId="3282287C" w:rsidR="00ED052F" w:rsidRDefault="003569A2" w:rsidP="003569A2">
      <w:pPr>
        <w:pStyle w:val="BodyText"/>
      </w:pPr>
      <w:r>
        <w:t>All other indications are considered experimental/investigational and not medically necessary</w:t>
      </w:r>
      <w:r w:rsidR="00ED052F" w:rsidRPr="00BD1CC1">
        <w:t>.</w:t>
      </w:r>
    </w:p>
    <w:p w14:paraId="36381B6D" w14:textId="6CE39EBF" w:rsidR="000D2496" w:rsidRPr="00BD1CC1" w:rsidRDefault="000D2496" w:rsidP="000D2496">
      <w:pPr>
        <w:pStyle w:val="Heading2"/>
      </w:pPr>
      <w:r w:rsidRPr="00BD1CC1">
        <w:t>Documentation</w:t>
      </w:r>
    </w:p>
    <w:p w14:paraId="13C59DCD" w14:textId="77777777" w:rsidR="003569A2" w:rsidRDefault="003569A2" w:rsidP="00902C78">
      <w:pPr>
        <w:pStyle w:val="BodyText"/>
      </w:pPr>
      <w:r w:rsidRPr="00902C78">
        <w:t>Submission</w:t>
      </w:r>
      <w:r>
        <w:t xml:space="preserve"> of the following information is necessary to initiate the prior authorization review:</w:t>
      </w:r>
    </w:p>
    <w:p w14:paraId="014878F4" w14:textId="77777777" w:rsidR="009B45FF" w:rsidRDefault="009B45FF" w:rsidP="00902C78">
      <w:pPr>
        <w:pStyle w:val="ListParagraph"/>
        <w:numPr>
          <w:ilvl w:val="0"/>
          <w:numId w:val="28"/>
        </w:numPr>
      </w:pPr>
      <w:r>
        <w:t>Initial requests:</w:t>
      </w:r>
    </w:p>
    <w:p w14:paraId="1F4377DF" w14:textId="1D8E9074" w:rsidR="003569A2" w:rsidRPr="00902C78" w:rsidRDefault="003569A2" w:rsidP="009B45FF">
      <w:pPr>
        <w:pStyle w:val="ListParagraph"/>
        <w:numPr>
          <w:ilvl w:val="1"/>
          <w:numId w:val="28"/>
        </w:numPr>
      </w:pPr>
      <w:r w:rsidRPr="00902C78">
        <w:t>Kidney biopsy confirming a diagnosis of primary immunoglobulin A nephropathy (</w:t>
      </w:r>
      <w:proofErr w:type="spellStart"/>
      <w:r w:rsidRPr="00902C78">
        <w:t>IgAN</w:t>
      </w:r>
      <w:proofErr w:type="spellEnd"/>
      <w:r w:rsidRPr="00902C78">
        <w:t>).</w:t>
      </w:r>
    </w:p>
    <w:p w14:paraId="2180ED6E" w14:textId="7B3B8411" w:rsidR="000D2496" w:rsidRDefault="003569A2" w:rsidP="009B45FF">
      <w:pPr>
        <w:pStyle w:val="ListParagraph"/>
        <w:numPr>
          <w:ilvl w:val="1"/>
          <w:numId w:val="28"/>
        </w:numPr>
        <w:spacing w:after="0"/>
      </w:pPr>
      <w:r w:rsidRPr="00902C78">
        <w:lastRenderedPageBreak/>
        <w:t>Laboratory report and/or chart note</w:t>
      </w:r>
      <w:r w:rsidR="008656AE">
        <w:t>(s)</w:t>
      </w:r>
      <w:r w:rsidRPr="00902C78">
        <w:t xml:space="preserve"> indicating the member has proteinuria greater than or equal to 1 </w:t>
      </w:r>
      <w:r w:rsidR="00464D92">
        <w:t>gram per day (</w:t>
      </w:r>
      <w:r w:rsidRPr="00902C78">
        <w:t>g/day</w:t>
      </w:r>
      <w:r w:rsidR="00464D92">
        <w:t>)</w:t>
      </w:r>
      <w:r w:rsidRPr="00902C78">
        <w:t xml:space="preserve"> or baseline urine protein-to-creatinine ratio (UPCR) greater than or equal to 0.8 </w:t>
      </w:r>
      <w:r w:rsidR="00464D92">
        <w:t>gram</w:t>
      </w:r>
      <w:r w:rsidR="00073427">
        <w:t>s</w:t>
      </w:r>
      <w:r w:rsidR="00464D92">
        <w:t xml:space="preserve"> per gram (</w:t>
      </w:r>
      <w:r w:rsidRPr="00902C78">
        <w:t>g/g</w:t>
      </w:r>
      <w:r w:rsidR="00464D92">
        <w:t>)</w:t>
      </w:r>
      <w:r w:rsidRPr="00902C78">
        <w:t>.</w:t>
      </w:r>
    </w:p>
    <w:p w14:paraId="7F8689D6" w14:textId="024B3D34" w:rsidR="009B45FF" w:rsidRDefault="009B45FF" w:rsidP="009B45FF">
      <w:pPr>
        <w:pStyle w:val="ListParagraph"/>
        <w:numPr>
          <w:ilvl w:val="0"/>
          <w:numId w:val="28"/>
        </w:numPr>
        <w:spacing w:after="0"/>
      </w:pPr>
      <w:r>
        <w:t>Continuation requests:</w:t>
      </w:r>
    </w:p>
    <w:p w14:paraId="564BAA9E" w14:textId="476858F3" w:rsidR="009B45FF" w:rsidRPr="00902C78" w:rsidRDefault="009B45FF" w:rsidP="009B45FF">
      <w:pPr>
        <w:pStyle w:val="ListParagraph"/>
        <w:numPr>
          <w:ilvl w:val="1"/>
          <w:numId w:val="28"/>
        </w:numPr>
        <w:spacing w:after="0"/>
      </w:pPr>
      <w:r>
        <w:t>Laboratory report and/or chart note(s) indicati</w:t>
      </w:r>
      <w:r w:rsidR="00007C79">
        <w:t>ng</w:t>
      </w:r>
      <w:r>
        <w:t xml:space="preserve"> the member has decreased levels of proteinuria or UPCR from baseline.</w:t>
      </w:r>
    </w:p>
    <w:p w14:paraId="50A38FBA" w14:textId="13E7E415" w:rsidR="00FE0C63" w:rsidRPr="00100B91" w:rsidRDefault="00685107" w:rsidP="003569A2">
      <w:pPr>
        <w:pStyle w:val="Heading2"/>
        <w:spacing w:before="280"/>
      </w:pPr>
      <w:r>
        <w:t>Coverage Criteria</w:t>
      </w:r>
    </w:p>
    <w:p w14:paraId="06C13F36" w14:textId="611265D7" w:rsidR="003569A2" w:rsidRPr="003569A2" w:rsidRDefault="003569A2" w:rsidP="00C77F15">
      <w:pPr>
        <w:pStyle w:val="Heading3"/>
        <w:tabs>
          <w:tab w:val="left" w:pos="8115"/>
        </w:tabs>
      </w:pPr>
      <w:r w:rsidRPr="00902C78">
        <w:t>Primary</w:t>
      </w:r>
      <w:r w:rsidRPr="003569A2">
        <w:t xml:space="preserve"> </w:t>
      </w:r>
      <w:r w:rsidR="00902C78" w:rsidRPr="003569A2">
        <w:t xml:space="preserve">Immunoglobulin </w:t>
      </w:r>
      <w:r w:rsidRPr="003569A2">
        <w:t xml:space="preserve">A </w:t>
      </w:r>
      <w:r w:rsidR="00902C78" w:rsidRPr="003569A2">
        <w:t xml:space="preserve">Nephropathy </w:t>
      </w:r>
      <w:r w:rsidRPr="003569A2">
        <w:t>(</w:t>
      </w:r>
      <w:proofErr w:type="spellStart"/>
      <w:r w:rsidRPr="003569A2">
        <w:t>IgAN</w:t>
      </w:r>
      <w:proofErr w:type="spellEnd"/>
      <w:r w:rsidRPr="003569A2">
        <w:t>)</w:t>
      </w:r>
      <w:r w:rsidRPr="00902C78">
        <w:rPr>
          <w:vertAlign w:val="superscript"/>
        </w:rPr>
        <w:t>1</w:t>
      </w:r>
      <w:r w:rsidR="00C77F15">
        <w:rPr>
          <w:vertAlign w:val="superscript"/>
        </w:rPr>
        <w:t>-3</w:t>
      </w:r>
    </w:p>
    <w:p w14:paraId="3EA29C09" w14:textId="7AA64B32" w:rsidR="003569A2" w:rsidRPr="003569A2" w:rsidRDefault="003569A2" w:rsidP="00902C78">
      <w:pPr>
        <w:pStyle w:val="BodyText"/>
      </w:pPr>
      <w:r w:rsidRPr="003569A2">
        <w:t xml:space="preserve">Authorization of </w:t>
      </w:r>
      <w:r w:rsidR="00773DB8">
        <w:t>12</w:t>
      </w:r>
      <w:r w:rsidRPr="003569A2">
        <w:t xml:space="preserve"> months may be granted when all of the following criteria are met:</w:t>
      </w:r>
    </w:p>
    <w:p w14:paraId="7F48DF8E" w14:textId="5696E866" w:rsidR="003569A2" w:rsidRPr="00902C78" w:rsidRDefault="003569A2" w:rsidP="00902C78">
      <w:pPr>
        <w:pStyle w:val="ListParagraph"/>
        <w:numPr>
          <w:ilvl w:val="0"/>
          <w:numId w:val="29"/>
        </w:numPr>
      </w:pPr>
      <w:r w:rsidRPr="00902C78">
        <w:t>Member has a diagnosis of primary immunoglobulin A nephropathy (</w:t>
      </w:r>
      <w:proofErr w:type="spellStart"/>
      <w:r w:rsidRPr="00902C78">
        <w:t>IgAN</w:t>
      </w:r>
      <w:proofErr w:type="spellEnd"/>
      <w:r w:rsidRPr="00902C78">
        <w:t>) confirmed by kidney biopsy.</w:t>
      </w:r>
    </w:p>
    <w:p w14:paraId="37C1D5B2" w14:textId="77777777" w:rsidR="00D900F9" w:rsidRDefault="00F97E58" w:rsidP="00F97E58">
      <w:pPr>
        <w:pStyle w:val="ListParagraph"/>
        <w:numPr>
          <w:ilvl w:val="0"/>
          <w:numId w:val="29"/>
        </w:numPr>
      </w:pPr>
      <w:r w:rsidRPr="00902C78">
        <w:t xml:space="preserve">Member has </w:t>
      </w:r>
      <w:r w:rsidR="00D900F9">
        <w:t>either of the following:</w:t>
      </w:r>
    </w:p>
    <w:p w14:paraId="681ACD4A" w14:textId="7CEE5CB2" w:rsidR="00D900F9" w:rsidRDefault="00D900F9" w:rsidP="00777D6C">
      <w:pPr>
        <w:pStyle w:val="ListParagraph"/>
        <w:numPr>
          <w:ilvl w:val="2"/>
          <w:numId w:val="29"/>
        </w:numPr>
        <w:ind w:left="1530"/>
      </w:pPr>
      <w:r>
        <w:t>P</w:t>
      </w:r>
      <w:r w:rsidR="00F97E58" w:rsidRPr="00902C78">
        <w:t>roteinuria greater than or equal to 1 g/day</w:t>
      </w:r>
      <w:r>
        <w:t>;</w:t>
      </w:r>
    </w:p>
    <w:p w14:paraId="4E630421" w14:textId="589FC5D5" w:rsidR="00F97E58" w:rsidRDefault="00F97E58" w:rsidP="00777D6C">
      <w:pPr>
        <w:pStyle w:val="ListParagraph"/>
        <w:numPr>
          <w:ilvl w:val="2"/>
          <w:numId w:val="29"/>
        </w:numPr>
        <w:ind w:left="1530"/>
      </w:pPr>
      <w:r w:rsidRPr="00902C78">
        <w:t xml:space="preserve">UPCR greater than or equal to </w:t>
      </w:r>
      <w:r w:rsidR="000E4761">
        <w:t>0.8</w:t>
      </w:r>
      <w:r w:rsidRPr="00902C78">
        <w:t xml:space="preserve"> g/g</w:t>
      </w:r>
    </w:p>
    <w:p w14:paraId="29B54612" w14:textId="50E089C8" w:rsidR="003569A2" w:rsidRPr="00902C78" w:rsidRDefault="003569A2" w:rsidP="00902C78">
      <w:pPr>
        <w:pStyle w:val="ListParagraph"/>
        <w:numPr>
          <w:ilvl w:val="0"/>
          <w:numId w:val="29"/>
        </w:numPr>
      </w:pPr>
      <w:r w:rsidRPr="00902C78">
        <w:t>Member is receiving a stable dose of maximally tolerated renin-angiotensin system (RAS) inhibitor therapy (e.g., angiotensin converting enzyme inhibitor [ACEI] or angiotensin II receptor blocker [ARB]) for at least 3 months of therapy, or member has an intolerance or contraindication to RAS inhibitors.</w:t>
      </w:r>
    </w:p>
    <w:p w14:paraId="3A643EC3" w14:textId="4225B7AB" w:rsidR="00A501AC" w:rsidRPr="00BD1CC1" w:rsidRDefault="00A501AC" w:rsidP="003569A2">
      <w:pPr>
        <w:pStyle w:val="Heading2"/>
        <w:spacing w:before="280"/>
      </w:pPr>
      <w:r w:rsidRPr="00BD1CC1">
        <w:t>Continuation of Therapy</w:t>
      </w:r>
    </w:p>
    <w:p w14:paraId="0EEB9931" w14:textId="77777777" w:rsidR="00773AEA" w:rsidRDefault="00773AEA" w:rsidP="00773AEA">
      <w:pPr>
        <w:pStyle w:val="BodyText"/>
      </w:pPr>
      <w:r>
        <w:t xml:space="preserve">Authorization of 12 months may be granted for continued treatment in all members (including new members) who are currently receiving the </w:t>
      </w:r>
      <w:r w:rsidRPr="000D3E4D">
        <w:t>requested</w:t>
      </w:r>
      <w:r>
        <w:t xml:space="preserve"> medication and who are experiencing benefit from therapy as evidenced by either of the following:</w:t>
      </w:r>
    </w:p>
    <w:p w14:paraId="7F60B75A" w14:textId="77777777" w:rsidR="00773AEA" w:rsidRDefault="00773AEA" w:rsidP="00773AEA">
      <w:pPr>
        <w:pStyle w:val="ListParagraph"/>
        <w:numPr>
          <w:ilvl w:val="0"/>
          <w:numId w:val="34"/>
        </w:numPr>
        <w:contextualSpacing w:val="0"/>
      </w:pPr>
      <w:r>
        <w:t>Decreased levels of proteinuria from baseline.</w:t>
      </w:r>
    </w:p>
    <w:p w14:paraId="36018FCE" w14:textId="77777777" w:rsidR="00CD558B" w:rsidRDefault="00773AEA" w:rsidP="00B4731F">
      <w:pPr>
        <w:pStyle w:val="ListParagraph"/>
      </w:pPr>
      <w:r>
        <w:t>Decrease in UPCR from baseline</w:t>
      </w:r>
      <w:r w:rsidR="00D8365B">
        <w:t>.</w:t>
      </w:r>
    </w:p>
    <w:p w14:paraId="7D86947C" w14:textId="44992786" w:rsidR="00CD558B" w:rsidRPr="00BD1CC1" w:rsidRDefault="00CD558B" w:rsidP="00CD558B">
      <w:pPr>
        <w:pStyle w:val="Heading2"/>
        <w:spacing w:before="280"/>
      </w:pPr>
      <w:r>
        <w:t>References</w:t>
      </w:r>
    </w:p>
    <w:p w14:paraId="7FCF0A70" w14:textId="40242E19" w:rsidR="003569A2" w:rsidRDefault="001C4C13" w:rsidP="00902C78">
      <w:pPr>
        <w:pStyle w:val="ReferenceOrdered"/>
      </w:pPr>
      <w:proofErr w:type="spellStart"/>
      <w:r>
        <w:t>Vanrafia</w:t>
      </w:r>
      <w:proofErr w:type="spellEnd"/>
      <w:r w:rsidRPr="00902C78">
        <w:t xml:space="preserve"> </w:t>
      </w:r>
      <w:r w:rsidR="003569A2" w:rsidRPr="00902C78">
        <w:t xml:space="preserve">[package insert]. </w:t>
      </w:r>
      <w:r w:rsidR="00CE4815">
        <w:t>East Hanover</w:t>
      </w:r>
      <w:r w:rsidR="003569A2" w:rsidRPr="00902C78">
        <w:t xml:space="preserve">, </w:t>
      </w:r>
      <w:r w:rsidR="00CE4815">
        <w:t>New Jersey</w:t>
      </w:r>
      <w:r w:rsidR="003569A2" w:rsidRPr="00902C78">
        <w:t xml:space="preserve">: </w:t>
      </w:r>
      <w:r w:rsidR="00CE4815">
        <w:t>Novartis</w:t>
      </w:r>
      <w:r w:rsidR="0049257E">
        <w:t xml:space="preserve"> Pharmaceuticals Corporation</w:t>
      </w:r>
      <w:r w:rsidR="003569A2" w:rsidRPr="00902C78">
        <w:t xml:space="preserve">; </w:t>
      </w:r>
      <w:r w:rsidR="00CE4815">
        <w:t>April 2025</w:t>
      </w:r>
      <w:r w:rsidR="003569A2" w:rsidRPr="00902C78">
        <w:t>.</w:t>
      </w:r>
    </w:p>
    <w:p w14:paraId="6E6304EE" w14:textId="4BB9E85C" w:rsidR="001D1BA8" w:rsidRDefault="00275BE3" w:rsidP="00275BE3">
      <w:pPr>
        <w:pStyle w:val="ReferenceOrdered"/>
      </w:pPr>
      <w:r>
        <w:t xml:space="preserve">ClinicalTrial.gov. National Library of Medicine (US). Identifier </w:t>
      </w:r>
      <w:r w:rsidR="00272AF7">
        <w:t>NCT04573478</w:t>
      </w:r>
      <w:r>
        <w:t xml:space="preserve"> </w:t>
      </w:r>
      <w:proofErr w:type="spellStart"/>
      <w:r w:rsidR="00272AF7">
        <w:t>Atrasentan</w:t>
      </w:r>
      <w:proofErr w:type="spellEnd"/>
      <w:r w:rsidR="00272AF7">
        <w:t xml:space="preserve"> in Patients with IgA Nephropathy (ALIGN</w:t>
      </w:r>
      <w:r>
        <w:t xml:space="preserve">). </w:t>
      </w:r>
      <w:r w:rsidR="00272AF7">
        <w:t>October</w:t>
      </w:r>
      <w:r w:rsidR="00433F4C">
        <w:t xml:space="preserve"> 15, 2024</w:t>
      </w:r>
      <w:r>
        <w:t xml:space="preserve">. Available from: </w:t>
      </w:r>
      <w:r w:rsidR="00433F4C" w:rsidRPr="00433F4C">
        <w:t>https://clinicaltrials.gov/study/NCT04573478</w:t>
      </w:r>
      <w:r w:rsidR="00433F4C">
        <w:t>.</w:t>
      </w:r>
    </w:p>
    <w:p w14:paraId="2775738E" w14:textId="39543431" w:rsidR="001D1BA8" w:rsidRPr="00902C78" w:rsidRDefault="001D1BA8" w:rsidP="001D1BA8">
      <w:pPr>
        <w:pStyle w:val="ReferenceOrdered"/>
      </w:pPr>
      <w:r>
        <w:t>Kidney Disease: Improving Global Outcomes (KDIGO) Glomerular Diseases Work Group. KDIGO 2021 Clinical Practice Guideline for the Management of Glomerular Diseases</w:t>
      </w:r>
      <w:r w:rsidRPr="000D3E4D">
        <w:rPr>
          <w:i/>
          <w:iCs/>
        </w:rPr>
        <w:t>. Kidney Int.</w:t>
      </w:r>
      <w:r>
        <w:t xml:space="preserve"> 2021 Oct; 100 (4S): S1-S276. </w:t>
      </w:r>
      <w:proofErr w:type="spellStart"/>
      <w:r>
        <w:t>doi</w:t>
      </w:r>
      <w:proofErr w:type="spellEnd"/>
      <w:r>
        <w:t>: 10.1016/j.kint.2021.05.021.</w:t>
      </w:r>
    </w:p>
    <w:sectPr w:rsidR="001D1BA8" w:rsidRPr="00902C78" w:rsidSect="00094583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1327F" w14:textId="77777777" w:rsidR="00EC235B" w:rsidRDefault="00EC235B">
      <w:r>
        <w:separator/>
      </w:r>
    </w:p>
  </w:endnote>
  <w:endnote w:type="continuationSeparator" w:id="0">
    <w:p w14:paraId="6188F6DE" w14:textId="77777777" w:rsidR="00EC235B" w:rsidRDefault="00EC235B">
      <w:r>
        <w:continuationSeparator/>
      </w:r>
    </w:p>
  </w:endnote>
  <w:endnote w:type="continuationNotice" w:id="1">
    <w:p w14:paraId="1047AFE7" w14:textId="77777777" w:rsidR="00EC235B" w:rsidRDefault="00EC23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B9A97" w14:textId="13F93748" w:rsidR="00EB4334" w:rsidRPr="00EC47B6" w:rsidRDefault="00EB4334" w:rsidP="00EB4334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11753" w:rsidRPr="00011753">
      <w:rPr>
        <w:rFonts w:cs="Arial"/>
        <w:noProof/>
        <w:sz w:val="16"/>
        <w:szCs w:val="16"/>
      </w:rPr>
      <w:t>Vanrafia</w:t>
    </w:r>
    <w:r w:rsidR="00011753">
      <w:rPr>
        <w:rFonts w:cs="Arial"/>
        <w:noProof/>
        <w:snapToGrid w:val="0"/>
        <w:color w:val="000000"/>
        <w:sz w:val="16"/>
        <w:szCs w:val="16"/>
      </w:rPr>
      <w:t xml:space="preserve"> SGM 6939-A </w:t>
    </w:r>
    <w:r w:rsidR="00011753" w:rsidRPr="00011753">
      <w:rPr>
        <w:rFonts w:cs="Arial"/>
        <w:noProof/>
        <w:sz w:val="16"/>
        <w:szCs w:val="16"/>
      </w:rPr>
      <w:t>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1C4C13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12C68CD8" w14:textId="00A07AAA" w:rsidR="00EB4334" w:rsidRPr="00EC47B6" w:rsidRDefault="00EB4334" w:rsidP="00EB4334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4D79365" w:rsidR="00F75C81" w:rsidRPr="00EB4334" w:rsidRDefault="00EB4334" w:rsidP="00EB4334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8CB9596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11753" w:rsidRPr="00011753">
      <w:rPr>
        <w:rFonts w:cs="Arial"/>
        <w:noProof/>
        <w:sz w:val="16"/>
        <w:szCs w:val="16"/>
      </w:rPr>
      <w:t>Vanrafia</w:t>
    </w:r>
    <w:r w:rsidR="00011753">
      <w:rPr>
        <w:rFonts w:cs="Arial"/>
        <w:noProof/>
        <w:snapToGrid w:val="0"/>
        <w:color w:val="000000"/>
        <w:sz w:val="16"/>
        <w:szCs w:val="16"/>
      </w:rPr>
      <w:t xml:space="preserve"> SGM 6939-A </w:t>
    </w:r>
    <w:r w:rsidR="00011753" w:rsidRPr="00011753">
      <w:rPr>
        <w:rFonts w:cs="Arial"/>
        <w:noProof/>
        <w:sz w:val="16"/>
        <w:szCs w:val="16"/>
      </w:rPr>
      <w:t>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94394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0CD982B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95A62CF" w:rsidR="00ED04EC" w:rsidRPr="00B52F45" w:rsidRDefault="00F50D98" w:rsidP="00B52F45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8B93B" w14:textId="77777777" w:rsidR="00EC235B" w:rsidRDefault="00EC235B">
      <w:r>
        <w:separator/>
      </w:r>
    </w:p>
  </w:footnote>
  <w:footnote w:type="continuationSeparator" w:id="0">
    <w:p w14:paraId="41CC2068" w14:textId="77777777" w:rsidR="00EC235B" w:rsidRDefault="00EC235B">
      <w:r>
        <w:continuationSeparator/>
      </w:r>
    </w:p>
  </w:footnote>
  <w:footnote w:type="continuationNotice" w:id="1">
    <w:p w14:paraId="6BA6E39C" w14:textId="77777777" w:rsidR="00EC235B" w:rsidRDefault="00EC23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7B2B91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7B2B91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7326F67E" w:rsidR="00ED04EC" w:rsidRPr="007B2B91" w:rsidRDefault="001C4C13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6939</w:t>
          </w:r>
          <w:r w:rsidR="003569A2" w:rsidRPr="007B2B91">
            <w:rPr>
              <w:rFonts w:cs="Arial"/>
              <w:sz w:val="16"/>
              <w:szCs w:val="16"/>
            </w:rPr>
            <w:t>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15F3E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640733"/>
    <w:multiLevelType w:val="hybridMultilevel"/>
    <w:tmpl w:val="07EAF1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2F2C1B"/>
    <w:multiLevelType w:val="hybridMultilevel"/>
    <w:tmpl w:val="7D967C30"/>
    <w:lvl w:ilvl="0" w:tplc="A78079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8244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F6AE6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F9214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6529F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E7E60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762F4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7BE44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4641C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093472"/>
    <w:multiLevelType w:val="hybridMultilevel"/>
    <w:tmpl w:val="79B45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9C347C"/>
    <w:multiLevelType w:val="hybridMultilevel"/>
    <w:tmpl w:val="CF323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A0826"/>
    <w:multiLevelType w:val="hybridMultilevel"/>
    <w:tmpl w:val="8E20FF62"/>
    <w:lvl w:ilvl="0" w:tplc="1BC011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8F87B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9987E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33E77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0EEC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19A62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8B094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B1E6B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8C24D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DD3814"/>
    <w:multiLevelType w:val="hybridMultilevel"/>
    <w:tmpl w:val="1466CB3C"/>
    <w:lvl w:ilvl="0" w:tplc="4EA0D2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FD6F2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44CA3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730C1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47EB5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36F9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DA45B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934F7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476DE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1264921869">
    <w:abstractNumId w:val="12"/>
  </w:num>
  <w:num w:numId="2" w16cid:durableId="606935877">
    <w:abstractNumId w:val="28"/>
  </w:num>
  <w:num w:numId="3" w16cid:durableId="611589570">
    <w:abstractNumId w:val="23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9"/>
  </w:num>
  <w:num w:numId="17" w16cid:durableId="2128498676">
    <w:abstractNumId w:val="30"/>
  </w:num>
  <w:num w:numId="18" w16cid:durableId="299724409">
    <w:abstractNumId w:val="25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2"/>
  </w:num>
  <w:num w:numId="22" w16cid:durableId="1472481103">
    <w:abstractNumId w:val="27"/>
  </w:num>
  <w:num w:numId="23" w16cid:durableId="1997420403">
    <w:abstractNumId w:val="29"/>
  </w:num>
  <w:num w:numId="24" w16cid:durableId="33312838">
    <w:abstractNumId w:val="26"/>
  </w:num>
  <w:num w:numId="25" w16cid:durableId="507404939">
    <w:abstractNumId w:val="18"/>
  </w:num>
  <w:num w:numId="26" w16cid:durableId="1950313333">
    <w:abstractNumId w:val="22"/>
  </w:num>
  <w:num w:numId="27" w16cid:durableId="1866016584">
    <w:abstractNumId w:val="21"/>
  </w:num>
  <w:num w:numId="28" w16cid:durableId="1099443598">
    <w:abstractNumId w:val="24"/>
  </w:num>
  <w:num w:numId="29" w16cid:durableId="1430544521">
    <w:abstractNumId w:val="20"/>
  </w:num>
  <w:num w:numId="30" w16cid:durableId="1567299578">
    <w:abstractNumId w:val="14"/>
  </w:num>
  <w:num w:numId="31" w16cid:durableId="1983384585">
    <w:abstractNumId w:val="33"/>
  </w:num>
  <w:num w:numId="32" w16cid:durableId="1785731270">
    <w:abstractNumId w:val="17"/>
  </w:num>
  <w:num w:numId="33" w16cid:durableId="1174608012">
    <w:abstractNumId w:val="31"/>
  </w:num>
  <w:num w:numId="34" w16cid:durableId="186066870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07C79"/>
    <w:rsid w:val="00010351"/>
    <w:rsid w:val="000106D6"/>
    <w:rsid w:val="00010A20"/>
    <w:rsid w:val="00010FE0"/>
    <w:rsid w:val="00011753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0D3"/>
    <w:rsid w:val="0003572F"/>
    <w:rsid w:val="00036079"/>
    <w:rsid w:val="00037636"/>
    <w:rsid w:val="00037A95"/>
    <w:rsid w:val="00040DF9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3427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8BD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583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4761"/>
    <w:rsid w:val="000E65C5"/>
    <w:rsid w:val="000E6D53"/>
    <w:rsid w:val="000E7263"/>
    <w:rsid w:val="000E7B01"/>
    <w:rsid w:val="000E7C60"/>
    <w:rsid w:val="000F0087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4FB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1CD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A13"/>
    <w:rsid w:val="00121BD0"/>
    <w:rsid w:val="00121F7F"/>
    <w:rsid w:val="00122472"/>
    <w:rsid w:val="001244EB"/>
    <w:rsid w:val="00125550"/>
    <w:rsid w:val="00125AE7"/>
    <w:rsid w:val="00127150"/>
    <w:rsid w:val="00127465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0700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0A8D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33A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9F8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4C13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1BA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0DFC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6C8D"/>
    <w:rsid w:val="0026796B"/>
    <w:rsid w:val="00267A90"/>
    <w:rsid w:val="002708AE"/>
    <w:rsid w:val="00271357"/>
    <w:rsid w:val="00272160"/>
    <w:rsid w:val="00272AF7"/>
    <w:rsid w:val="00272D78"/>
    <w:rsid w:val="00273E66"/>
    <w:rsid w:val="00273FEB"/>
    <w:rsid w:val="002754FA"/>
    <w:rsid w:val="00275BE3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26D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4456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6F4B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3DA3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A2"/>
    <w:rsid w:val="003569BC"/>
    <w:rsid w:val="003608FE"/>
    <w:rsid w:val="00360F75"/>
    <w:rsid w:val="00361AEE"/>
    <w:rsid w:val="00362CE9"/>
    <w:rsid w:val="003633F3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3757"/>
    <w:rsid w:val="00374540"/>
    <w:rsid w:val="003753D0"/>
    <w:rsid w:val="003756FF"/>
    <w:rsid w:val="0037580F"/>
    <w:rsid w:val="0037664E"/>
    <w:rsid w:val="003777A6"/>
    <w:rsid w:val="00377D50"/>
    <w:rsid w:val="003809B3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057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3F0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3F4C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2FB"/>
    <w:rsid w:val="00462FA2"/>
    <w:rsid w:val="00464D9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57E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0C7C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3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3AB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ABA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591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3BB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407C"/>
    <w:rsid w:val="0065581E"/>
    <w:rsid w:val="00655AEE"/>
    <w:rsid w:val="0065666F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4909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24D3"/>
    <w:rsid w:val="00673184"/>
    <w:rsid w:val="00675422"/>
    <w:rsid w:val="006754FB"/>
    <w:rsid w:val="00675C7A"/>
    <w:rsid w:val="00675EC3"/>
    <w:rsid w:val="00676116"/>
    <w:rsid w:val="006761DD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A5D"/>
    <w:rsid w:val="006C1D68"/>
    <w:rsid w:val="006C3252"/>
    <w:rsid w:val="006C48F6"/>
    <w:rsid w:val="006C519A"/>
    <w:rsid w:val="006C52D4"/>
    <w:rsid w:val="006C5786"/>
    <w:rsid w:val="006C584B"/>
    <w:rsid w:val="006D00F3"/>
    <w:rsid w:val="006D0292"/>
    <w:rsid w:val="006D0FA8"/>
    <w:rsid w:val="006D1263"/>
    <w:rsid w:val="006D171C"/>
    <w:rsid w:val="006D21AA"/>
    <w:rsid w:val="006D23BA"/>
    <w:rsid w:val="006D24CA"/>
    <w:rsid w:val="006D341B"/>
    <w:rsid w:val="006D3542"/>
    <w:rsid w:val="006D3CA3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5E3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CD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198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20A"/>
    <w:rsid w:val="00765BBE"/>
    <w:rsid w:val="00766061"/>
    <w:rsid w:val="00767982"/>
    <w:rsid w:val="007704F3"/>
    <w:rsid w:val="007710F2"/>
    <w:rsid w:val="007716E9"/>
    <w:rsid w:val="0077298B"/>
    <w:rsid w:val="00773060"/>
    <w:rsid w:val="00773513"/>
    <w:rsid w:val="0077365E"/>
    <w:rsid w:val="00773AEA"/>
    <w:rsid w:val="00773DB8"/>
    <w:rsid w:val="007741BD"/>
    <w:rsid w:val="0077473F"/>
    <w:rsid w:val="00775C9E"/>
    <w:rsid w:val="007775AA"/>
    <w:rsid w:val="00777708"/>
    <w:rsid w:val="007778B0"/>
    <w:rsid w:val="00777BDA"/>
    <w:rsid w:val="00777D6C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0AD1"/>
    <w:rsid w:val="007912A7"/>
    <w:rsid w:val="007915F1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2B91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6708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0E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457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1AA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2D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49D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6AE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3F61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3481"/>
    <w:rsid w:val="00894394"/>
    <w:rsid w:val="008943CF"/>
    <w:rsid w:val="008945D6"/>
    <w:rsid w:val="00895C0F"/>
    <w:rsid w:val="00895FE5"/>
    <w:rsid w:val="00896FAB"/>
    <w:rsid w:val="00897011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A86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240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C5E7F"/>
    <w:rsid w:val="008D0F23"/>
    <w:rsid w:val="008D1B34"/>
    <w:rsid w:val="008D228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ACD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31A5"/>
    <w:rsid w:val="008F4B96"/>
    <w:rsid w:val="008F53E8"/>
    <w:rsid w:val="008F58D0"/>
    <w:rsid w:val="008F5F59"/>
    <w:rsid w:val="008F640B"/>
    <w:rsid w:val="008F79F2"/>
    <w:rsid w:val="008F7B57"/>
    <w:rsid w:val="0090242B"/>
    <w:rsid w:val="00902C78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0BF0"/>
    <w:rsid w:val="00941264"/>
    <w:rsid w:val="00941386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4FE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0AC6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8CC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45FF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3A2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0467"/>
    <w:rsid w:val="00A2137A"/>
    <w:rsid w:val="00A21480"/>
    <w:rsid w:val="00A21E7F"/>
    <w:rsid w:val="00A23BE3"/>
    <w:rsid w:val="00A24116"/>
    <w:rsid w:val="00A242BE"/>
    <w:rsid w:val="00A25BB6"/>
    <w:rsid w:val="00A26523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55A4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0A4"/>
    <w:rsid w:val="00A83FA7"/>
    <w:rsid w:val="00A84AD9"/>
    <w:rsid w:val="00A84CB5"/>
    <w:rsid w:val="00A85B1E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6F6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B7FA1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C38"/>
    <w:rsid w:val="00AC5988"/>
    <w:rsid w:val="00AC6DB3"/>
    <w:rsid w:val="00AC72A2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07DBB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2F45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37A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6F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581"/>
    <w:rsid w:val="00B93BBA"/>
    <w:rsid w:val="00B94445"/>
    <w:rsid w:val="00B9493B"/>
    <w:rsid w:val="00B96C10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5F7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83C"/>
    <w:rsid w:val="00BC3850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434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26C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77F15"/>
    <w:rsid w:val="00C808F0"/>
    <w:rsid w:val="00C809E5"/>
    <w:rsid w:val="00C846AC"/>
    <w:rsid w:val="00C8494C"/>
    <w:rsid w:val="00C85BB7"/>
    <w:rsid w:val="00C85F84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A73A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4FC"/>
    <w:rsid w:val="00CD558B"/>
    <w:rsid w:val="00CD59BF"/>
    <w:rsid w:val="00CD6E3C"/>
    <w:rsid w:val="00CD74BA"/>
    <w:rsid w:val="00CE00C5"/>
    <w:rsid w:val="00CE0B55"/>
    <w:rsid w:val="00CE0E3E"/>
    <w:rsid w:val="00CE12A6"/>
    <w:rsid w:val="00CE1968"/>
    <w:rsid w:val="00CE1CC9"/>
    <w:rsid w:val="00CE2909"/>
    <w:rsid w:val="00CE317E"/>
    <w:rsid w:val="00CE409F"/>
    <w:rsid w:val="00CE4815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37B"/>
    <w:rsid w:val="00CF5BAA"/>
    <w:rsid w:val="00CF634A"/>
    <w:rsid w:val="00CF7282"/>
    <w:rsid w:val="00CF7853"/>
    <w:rsid w:val="00D009CC"/>
    <w:rsid w:val="00D015E2"/>
    <w:rsid w:val="00D01DB8"/>
    <w:rsid w:val="00D0210C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5FE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3737"/>
    <w:rsid w:val="00D24201"/>
    <w:rsid w:val="00D24AC3"/>
    <w:rsid w:val="00D24F0F"/>
    <w:rsid w:val="00D24F6F"/>
    <w:rsid w:val="00D25BE2"/>
    <w:rsid w:val="00D26363"/>
    <w:rsid w:val="00D271C2"/>
    <w:rsid w:val="00D3000C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1966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65B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0F9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0FE2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450"/>
    <w:rsid w:val="00DE2E13"/>
    <w:rsid w:val="00DE3856"/>
    <w:rsid w:val="00DE415E"/>
    <w:rsid w:val="00DE462F"/>
    <w:rsid w:val="00DE5343"/>
    <w:rsid w:val="00DE5BEF"/>
    <w:rsid w:val="00DE66CD"/>
    <w:rsid w:val="00DE6958"/>
    <w:rsid w:val="00DE755D"/>
    <w:rsid w:val="00DF14FB"/>
    <w:rsid w:val="00DF1608"/>
    <w:rsid w:val="00DF2F9C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2E1D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576E9"/>
    <w:rsid w:val="00E60126"/>
    <w:rsid w:val="00E61AD9"/>
    <w:rsid w:val="00E625E8"/>
    <w:rsid w:val="00E62DE9"/>
    <w:rsid w:val="00E630B7"/>
    <w:rsid w:val="00E634DA"/>
    <w:rsid w:val="00E634FA"/>
    <w:rsid w:val="00E63F7A"/>
    <w:rsid w:val="00E64D0C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078"/>
    <w:rsid w:val="00EA4698"/>
    <w:rsid w:val="00EA4ABA"/>
    <w:rsid w:val="00EA5754"/>
    <w:rsid w:val="00EA5ECE"/>
    <w:rsid w:val="00EA6090"/>
    <w:rsid w:val="00EA6AFF"/>
    <w:rsid w:val="00EA706A"/>
    <w:rsid w:val="00EA72E4"/>
    <w:rsid w:val="00EB0299"/>
    <w:rsid w:val="00EB199D"/>
    <w:rsid w:val="00EB3987"/>
    <w:rsid w:val="00EB3B44"/>
    <w:rsid w:val="00EB4334"/>
    <w:rsid w:val="00EB46B3"/>
    <w:rsid w:val="00EB4736"/>
    <w:rsid w:val="00EB5413"/>
    <w:rsid w:val="00EB548F"/>
    <w:rsid w:val="00EB54C7"/>
    <w:rsid w:val="00EB5639"/>
    <w:rsid w:val="00EB573B"/>
    <w:rsid w:val="00EB5F09"/>
    <w:rsid w:val="00EB5F51"/>
    <w:rsid w:val="00EB5F73"/>
    <w:rsid w:val="00EB65B3"/>
    <w:rsid w:val="00EB66EA"/>
    <w:rsid w:val="00EB687E"/>
    <w:rsid w:val="00EB6AEB"/>
    <w:rsid w:val="00EB711D"/>
    <w:rsid w:val="00EB73F2"/>
    <w:rsid w:val="00EB754D"/>
    <w:rsid w:val="00EC0CE4"/>
    <w:rsid w:val="00EC11FF"/>
    <w:rsid w:val="00EC235B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9CB"/>
    <w:rsid w:val="00F14B6C"/>
    <w:rsid w:val="00F14CD0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5AFE"/>
    <w:rsid w:val="00F2670F"/>
    <w:rsid w:val="00F26FDE"/>
    <w:rsid w:val="00F27105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97E58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1A"/>
    <w:rsid w:val="00FC14CF"/>
    <w:rsid w:val="00FC1AAD"/>
    <w:rsid w:val="00FC2ADB"/>
    <w:rsid w:val="00FC2E5F"/>
    <w:rsid w:val="00FC2E88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12F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80A3C879-279D-472B-B060-B4CA12E3D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1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F2506E-4DF9-4A35-B4E5-1FE77F28A9A1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openxmlformats.org/package/2006/metadata/core-properties"/>
    <ds:schemaRef ds:uri="http://schemas.microsoft.com/office/infopath/2007/PartnerControls"/>
    <ds:schemaRef ds:uri="102fadf2-6cae-45bc-95f6-bc2613b98572"/>
    <ds:schemaRef ds:uri="http://purl.org/dc/terms/"/>
    <ds:schemaRef ds:uri="ce173f13-e3a2-4c5f-8c54-d0382ae88016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436</Words>
  <Characters>2693</Characters>
  <Application>Microsoft Office Word</Application>
  <DocSecurity>0</DocSecurity>
  <Lines>92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Tarpeyo 5114-A SGM 2023</vt:lpstr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Vanrafia SGM 6939-A</dc:title>
  <dc:subject>Vanrafia SGM 6939-A</dc:subject>
  <dc:creator>CVS Caremark</dc:creator>
  <cp:keywords/>
  <cp:lastModifiedBy>Ortiz, Erica M</cp:lastModifiedBy>
  <cp:revision>4</cp:revision>
  <cp:lastPrinted>2018-01-09T07:01:00Z</cp:lastPrinted>
  <dcterms:created xsi:type="dcterms:W3CDTF">2025-05-06T19:31:00Z</dcterms:created>
  <dcterms:modified xsi:type="dcterms:W3CDTF">2025-05-06T19:33:00Z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1044000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